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textAlignment w:val="baseline"/>
        <w:rPr>
          <w:rFonts w:ascii="Liberation Serif" w:hAnsi="Liberation Serif" w:eastAsia="Times New Roman" w:cs="Liberation Serif"/>
          <w:b/>
          <w:sz w:val="24"/>
          <w:szCs w:val="24"/>
          <w:lang w:eastAsia="ru-RU"/>
        </w:rPr>
      </w:pPr>
      <w:r>
        <w:rPr>
          <w:rFonts w:eastAsia="Times New Roman" w:cs="Liberation Serif"/>
          <w:b/>
          <w:sz w:val="24"/>
          <w:szCs w:val="24"/>
          <w:lang w:eastAsia="ru-RU"/>
        </w:rPr>
      </w:r>
    </w:p>
    <w:p>
      <w:pPr>
        <w:pStyle w:val="Normal"/>
        <w:jc w:val="center"/>
        <w:textAlignment w:val="baseline"/>
        <w:rPr>
          <w:rFonts w:ascii="Liberation Serif" w:hAnsi="Liberation Serif" w:eastAsia="Times New Roman" w:cs="Liberation Serif"/>
          <w:b/>
          <w:sz w:val="24"/>
          <w:szCs w:val="24"/>
          <w:lang w:eastAsia="ru-RU"/>
        </w:rPr>
      </w:pPr>
      <w:r>
        <w:rPr>
          <w:rFonts w:eastAsia="Times New Roman" w:cs="Liberation Serif"/>
          <w:b/>
          <w:sz w:val="24"/>
          <w:szCs w:val="24"/>
          <w:lang w:eastAsia="ru-RU"/>
        </w:rPr>
        <w:t xml:space="preserve"> </w:t>
      </w: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textAlignment w:val="baseline"/>
        <w:rPr>
          <w:rFonts w:ascii="Liberation Serif" w:hAnsi="Liberation Serif" w:eastAsia="Times New Roman" w:cs="Liberation Serif"/>
          <w:b/>
          <w:sz w:val="24"/>
          <w:szCs w:val="24"/>
          <w:lang w:eastAsia="ru-RU"/>
        </w:rPr>
      </w:pPr>
      <w:r>
        <w:rPr>
          <w:rFonts w:eastAsia="Times New Roman" w:cs="Liberation Serif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Liberation Serif" w:hAnsi="Liberation Serif" w:eastAsia="Times New Roman" w:cs="Liberation Serif"/>
          <w:color w:val="000000"/>
          <w:sz w:val="20"/>
          <w:szCs w:val="20"/>
          <w:lang w:eastAsia="ru-RU"/>
        </w:rPr>
      </w:pPr>
      <w:r>
        <w:rPr>
          <w:rFonts w:eastAsia="Times New Roman" w:cs="Liberation Serif"/>
          <w:b/>
          <w:color w:val="000000"/>
          <w:sz w:val="28"/>
          <w:szCs w:val="28"/>
          <w:lang w:eastAsia="ru-RU"/>
        </w:rPr>
        <w:t>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Liberation Serif" w:hAnsi="Liberation Serif" w:eastAsia="Times New Roman" w:cs="Liberation Serif"/>
          <w:b/>
          <w:color w:val="000000"/>
          <w:sz w:val="28"/>
          <w:szCs w:val="28"/>
          <w:lang w:eastAsia="ru-RU"/>
        </w:rPr>
      </w:pPr>
      <w:r>
        <w:rPr>
          <w:rFonts w:eastAsia="Times New Roman" w:cs="Liberation Serif"/>
          <w:b/>
          <w:color w:val="000000"/>
          <w:sz w:val="28"/>
          <w:szCs w:val="28"/>
          <w:lang w:eastAsia="ru-RU"/>
        </w:rPr>
        <w:t>Свердловской области</w:t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Liberation Serif" w:hAnsi="Liberation Serif" w:eastAsia="Times New Roman" w:cs="Liberation Serif"/>
          <w:b/>
          <w:color w:val="000000"/>
          <w:sz w:val="28"/>
          <w:szCs w:val="28"/>
          <w:lang w:eastAsia="ru-RU"/>
        </w:rPr>
      </w:pPr>
      <w:r>
        <w:rPr>
          <w:rFonts w:eastAsia="Times New Roman" w:cs="Liberation Serif"/>
          <w:b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Liberation Serif" w:hAnsi="Liberation Serif" w:eastAsia="Times New Roman" w:cs="Liberation Serif"/>
          <w:color w:val="000000"/>
          <w:sz w:val="20"/>
          <w:szCs w:val="20"/>
          <w:lang w:eastAsia="ru-RU"/>
        </w:rPr>
      </w:pPr>
      <w:r>
        <w:rPr>
          <w:rFonts w:eastAsia="Times New Roman" w:cs="Liberation Serif"/>
          <w:b/>
          <w:color w:val="000000"/>
          <w:sz w:val="32"/>
          <w:szCs w:val="32"/>
          <w:lang w:eastAsia="ru-RU"/>
        </w:rPr>
        <w:t>П О С Т А Н О В Л Е Н И Е</w:t>
      </w:r>
    </w:p>
    <w:tbl>
      <w:tblPr>
        <w:tblW w:w="9811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9811"/>
      </w:tblGrid>
      <w:tr>
        <w:trPr>
          <w:trHeight w:val="100" w:hRule="atLeast"/>
        </w:trPr>
        <w:tc>
          <w:tcPr>
            <w:tcW w:w="9811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start="-113" w:end="113"/>
              <w:jc w:val="start"/>
              <w:rPr>
                <w:rFonts w:ascii="Liberation Serif" w:hAnsi="Liberation Serif" w:eastAsia="Times New Roman" w:cs="Liberation Serif"/>
                <w:bCs/>
                <w:sz w:val="24"/>
                <w:szCs w:val="20"/>
                <w:lang w:eastAsia="ru-RU"/>
              </w:rPr>
            </w:pPr>
            <w:r>
              <w:rPr>
                <w:rFonts w:eastAsia="Times New Roman" w:cs="Liberation Serif"/>
                <w:bCs/>
                <w:sz w:val="24"/>
                <w:szCs w:val="20"/>
                <w:lang w:eastAsia="ru-RU"/>
              </w:rPr>
              <w:t>от 10.03.2026                                          п.г.т.Тугулым                                                           № 125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bCs/>
                <w:sz w:val="24"/>
                <w:szCs w:val="20"/>
                <w:lang w:eastAsia="ru-RU"/>
              </w:rPr>
            </w:pPr>
            <w:r>
              <w:rPr>
                <w:rFonts w:eastAsia="Times New Roman" w:cs="Liberation Serif"/>
                <w:bCs/>
                <w:sz w:val="24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eastAsia="Times New Roman" w:cs="Liberation Serif"/>
                <w:bCs/>
                <w:sz w:val="24"/>
                <w:szCs w:val="20"/>
                <w:lang w:eastAsia="ru-RU"/>
              </w:rPr>
            </w:pPr>
            <w:r>
              <w:rPr>
                <w:rFonts w:eastAsia="Times New Roman" w:cs="Liberation Serif"/>
                <w:bCs/>
                <w:sz w:val="24"/>
                <w:szCs w:val="20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sz w:val="24"/>
          <w:szCs w:val="24"/>
        </w:rPr>
      </w:pPr>
      <w:r>
        <w:rPr>
          <w:rFonts w:eastAsia="Times New Roman" w:cs="Liberation Serif"/>
          <w:b/>
          <w:sz w:val="24"/>
          <w:szCs w:val="24"/>
        </w:rPr>
        <w:t>Об утверждении Порядка расходования субсидии из областного бюджета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sz w:val="24"/>
          <w:szCs w:val="24"/>
        </w:rPr>
      </w:pPr>
      <w:r>
        <w:rPr>
          <w:rFonts w:eastAsia="Times New Roman" w:cs="Liberation Serif"/>
          <w:b/>
          <w:sz w:val="24"/>
          <w:szCs w:val="24"/>
        </w:rPr>
        <w:t>бюджету Тугулымского муниципального округа Свердловской области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sz w:val="24"/>
          <w:szCs w:val="24"/>
        </w:rPr>
      </w:pPr>
      <w:r>
        <w:rPr>
          <w:rFonts w:eastAsia="Times New Roman" w:cs="Liberation Serif"/>
          <w:b/>
          <w:sz w:val="24"/>
          <w:szCs w:val="24"/>
        </w:rPr>
        <w:t>на государственную поддержку лучших сельских учреждений культуры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sz w:val="24"/>
          <w:szCs w:val="24"/>
        </w:rPr>
      </w:pPr>
      <w:r>
        <w:rPr>
          <w:rFonts w:eastAsia="Times New Roman" w:cs="Liberation Serif"/>
          <w:b/>
          <w:sz w:val="24"/>
          <w:szCs w:val="24"/>
        </w:rPr>
        <w:t>и лучших работников сельских учреждений культуры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sz w:val="24"/>
          <w:szCs w:val="24"/>
        </w:rPr>
      </w:pPr>
      <w:r>
        <w:rPr>
          <w:rFonts w:eastAsia="Times New Roman" w:cs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Liberation Serif" w:hAnsi="Liberation Serif" w:eastAsia="Calibri" w:cs="Liberation Serif"/>
          <w:sz w:val="24"/>
          <w:szCs w:val="24"/>
          <w:lang w:eastAsia="ru-RU"/>
        </w:rPr>
      </w:pPr>
      <w:r>
        <w:rPr>
          <w:rFonts w:eastAsia="Calibri" w:cs="Liberation Serif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 w:eastAsia="Calibri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 xml:space="preserve">В соответствии с Бюджетным </w:t>
      </w:r>
      <w:hyperlink r:id="rId3">
        <w:r>
          <w:rPr>
            <w:rStyle w:val="Style9"/>
            <w:rFonts w:eastAsia="Times New Roman" w:cs="Liberation Serif"/>
            <w:bCs/>
            <w:sz w:val="24"/>
            <w:szCs w:val="24"/>
            <w:lang w:eastAsia="ru-RU"/>
          </w:rPr>
          <w:t>кодексом</w:t>
        </w:r>
      </w:hyperlink>
      <w:r>
        <w:rPr>
          <w:rFonts w:eastAsia="Times New Roman" w:cs="Liberation Serif"/>
          <w:bCs/>
          <w:sz w:val="24"/>
          <w:szCs w:val="24"/>
          <w:lang w:eastAsia="ru-RU"/>
        </w:rPr>
        <w:t xml:space="preserve"> Российской Федерации, </w:t>
      </w:r>
      <w:hyperlink r:id="rId4">
        <w:r>
          <w:rPr>
            <w:rStyle w:val="Style9"/>
            <w:rFonts w:eastAsia="Times New Roman" w:cs="Liberation Serif"/>
            <w:bCs/>
            <w:sz w:val="24"/>
            <w:szCs w:val="24"/>
            <w:lang w:eastAsia="ru-RU"/>
          </w:rPr>
          <w:t>Законом</w:t>
        </w:r>
      </w:hyperlink>
      <w:r>
        <w:rPr>
          <w:rFonts w:eastAsia="Times New Roman" w:cs="Liberation Serif"/>
          <w:bCs/>
          <w:sz w:val="24"/>
          <w:szCs w:val="24"/>
          <w:lang w:eastAsia="ru-RU"/>
        </w:rPr>
        <w:t xml:space="preserve"> Свердловской области от 10 декабря 2025 года № 91-ОЗ «Об областном бюджете на 2026 год и плановый период 2027 и 2028 годов», Постановлением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области» (с изменениями на</w:t>
      </w:r>
      <w:r>
        <w:rPr>
          <w:rFonts w:cs="Liberation Serif"/>
        </w:rPr>
        <w:t xml:space="preserve"> </w:t>
      </w:r>
      <w:r>
        <w:rPr>
          <w:rFonts w:eastAsia="Times New Roman" w:cs="Liberation Serif"/>
          <w:bCs/>
          <w:sz w:val="24"/>
          <w:szCs w:val="24"/>
          <w:lang w:eastAsia="ru-RU"/>
        </w:rPr>
        <w:t xml:space="preserve">29 января 2026 года), </w:t>
      </w:r>
      <w:r>
        <w:rPr>
          <w:rFonts w:eastAsia="Calibri" w:cs="Liberation Serif"/>
          <w:bCs/>
          <w:color w:val="000000"/>
          <w:sz w:val="24"/>
          <w:szCs w:val="24"/>
          <w:lang w:eastAsia="ru-RU"/>
        </w:rPr>
        <w:t>руководствуясь Уставом Тугулымского муниципального округа, администрация Тугулымского муниципального округа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Liberation Serif" w:hAnsi="Liberation Serif" w:eastAsia="Calibri" w:cs="Liberation Serif"/>
          <w:bCs/>
          <w:sz w:val="24"/>
          <w:szCs w:val="24"/>
          <w:lang w:eastAsia="ru-RU"/>
        </w:rPr>
      </w:pPr>
      <w:r>
        <w:rPr>
          <w:rFonts w:eastAsia="Calibri" w:cs="Liberation Serif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Calibri" w:cs="Liberation Serif"/>
          <w:b/>
          <w:bCs/>
          <w:sz w:val="28"/>
          <w:szCs w:val="24"/>
          <w:lang w:eastAsia="ru-RU"/>
        </w:rPr>
      </w:pPr>
      <w:r>
        <w:rPr>
          <w:rFonts w:eastAsia="Calibri" w:cs="Liberation Serif"/>
          <w:b/>
          <w:bCs/>
          <w:sz w:val="28"/>
          <w:szCs w:val="24"/>
          <w:lang w:eastAsia="ru-RU"/>
        </w:rPr>
        <w:t>ПОСТАНОВЛЯЕТ: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eastAsia="Times New Roman" w:cs="Liberation Serif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Liberation Serif"/>
          <w:bCs/>
          <w:sz w:val="24"/>
          <w:szCs w:val="24"/>
          <w:lang w:eastAsia="ru-RU"/>
        </w:rPr>
        <w:tab/>
      </w:r>
      <w:r>
        <w:rPr>
          <w:rFonts w:eastAsia="Times New Roman" w:cs="Liberation Serif"/>
          <w:bCs/>
          <w:sz w:val="24"/>
          <w:szCs w:val="24"/>
          <w:lang w:eastAsia="ru-RU"/>
        </w:rPr>
        <w:t>1.   Утвердить Порядок</w:t>
      </w:r>
      <w:r>
        <w:rPr>
          <w:rFonts w:cs="Liberation Serif"/>
          <w:sz w:val="24"/>
          <w:szCs w:val="24"/>
        </w:rPr>
        <w:t xml:space="preserve"> </w:t>
      </w:r>
      <w:r>
        <w:rPr>
          <w:rFonts w:eastAsia="Times New Roman" w:cs="Liberation Serif"/>
          <w:bCs/>
          <w:sz w:val="24"/>
          <w:szCs w:val="24"/>
          <w:lang w:eastAsia="ru-RU"/>
        </w:rPr>
        <w:t>расходования субсидии из областного бюджета бюджету Тугулымского муниципального округа Свердловской области на государственную поддержку лучших сельских учреждений культуры и лучших работников сельских учреждений культуры (прилагается).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Liberation Serif"/>
          <w:sz w:val="24"/>
          <w:szCs w:val="24"/>
          <w:lang w:eastAsia="ru-RU"/>
        </w:rPr>
        <w:tab/>
        <w:t>2.</w:t>
      </w:r>
      <w:r>
        <w:rPr>
          <w:rFonts w:cs="Liberation Serif"/>
          <w:sz w:val="24"/>
          <w:szCs w:val="24"/>
        </w:rPr>
        <w:t xml:space="preserve">       </w:t>
      </w:r>
      <w:r>
        <w:rPr>
          <w:rFonts w:eastAsia="Calibri" w:cs="Liberation Serif"/>
          <w:sz w:val="24"/>
          <w:szCs w:val="24"/>
          <w:lang w:eastAsia="ru-RU"/>
        </w:rPr>
        <w:t>Постановление администрации Тугулымского городского округа от 19.05.2023 № 182 «Об утверждении порядка расходования субсидии из областного бюджета бюджету Тугулымского городского округа, расположенного на территории Свердловской области, на государственную поддержку лучших сельских учреждений культуры  и лучших работников сельских учреждений культуры» признать утратившим силу.</w:t>
      </w:r>
    </w:p>
    <w:p>
      <w:pPr>
        <w:pStyle w:val="Normal"/>
        <w:spacing w:lineRule="auto" w:line="240"/>
        <w:rPr/>
      </w:pPr>
      <w:r>
        <w:rPr/>
        <w:tab/>
        <w:t>3.   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Liberation Serif"/>
          <w:sz w:val="24"/>
          <w:szCs w:val="24"/>
          <w:lang w:eastAsia="ru-RU"/>
        </w:rPr>
        <w:tab/>
        <w:t>4.  Контроль исполнения постановления возложить на заместителя главы Тугулымского муниципального округа Шилкову О.В.</w:t>
      </w:r>
    </w:p>
    <w:p>
      <w:pPr>
        <w:pStyle w:val="Normal"/>
        <w:tabs>
          <w:tab w:val="clear" w:pos="708"/>
          <w:tab w:val="left" w:pos="4395" w:leader="none"/>
        </w:tabs>
        <w:spacing w:lineRule="auto" w:line="240" w:before="0" w:after="0"/>
        <w:jc w:val="both"/>
        <w:rPr>
          <w:rFonts w:ascii="Liberation Serif" w:hAnsi="Liberation Serif" w:eastAsia="Calibri" w:cs="Liberation Serif"/>
          <w:sz w:val="24"/>
          <w:szCs w:val="24"/>
          <w:lang w:eastAsia="ru-RU"/>
        </w:rPr>
      </w:pPr>
      <w:r>
        <w:rPr>
          <w:rFonts w:eastAsia="Calibri" w:cs="Liberation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395" w:leader="none"/>
        </w:tabs>
        <w:spacing w:lineRule="auto" w:line="240" w:before="0" w:after="0"/>
        <w:jc w:val="both"/>
        <w:rPr>
          <w:rFonts w:ascii="Liberation Serif" w:hAnsi="Liberation Serif" w:eastAsia="Calibri" w:cs="Liberation Serif"/>
          <w:sz w:val="24"/>
          <w:szCs w:val="24"/>
          <w:lang w:eastAsia="ru-RU"/>
        </w:rPr>
      </w:pPr>
      <w:r>
        <w:rPr>
          <w:rFonts w:eastAsia="Calibri" w:cs="Liberation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395" w:leader="none"/>
        </w:tabs>
        <w:spacing w:lineRule="auto" w:line="240" w:before="0" w:after="0"/>
        <w:jc w:val="both"/>
        <w:rPr>
          <w:rFonts w:ascii="Liberation Serif" w:hAnsi="Liberation Serif" w:eastAsia="Calibri" w:cs="Liberation Serif"/>
          <w:sz w:val="24"/>
          <w:szCs w:val="24"/>
          <w:lang w:eastAsia="ru-RU"/>
        </w:rPr>
      </w:pPr>
      <w:r>
        <w:rPr>
          <w:rFonts w:eastAsia="Calibri" w:cs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Calibri" w:cs="Liberation Serif"/>
          <w:sz w:val="24"/>
          <w:szCs w:val="24"/>
          <w:lang w:eastAsia="ru-RU"/>
        </w:rPr>
      </w:pPr>
      <w:r>
        <w:rPr>
          <w:rFonts w:eastAsia="Calibri" w:cs="Liberation Serif"/>
          <w:sz w:val="24"/>
          <w:szCs w:val="24"/>
          <w:lang w:eastAsia="ru-RU"/>
        </w:rPr>
        <w:t xml:space="preserve">Глава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Calibri" w:cs="Liberation Serif"/>
          <w:sz w:val="24"/>
          <w:szCs w:val="24"/>
          <w:lang w:eastAsia="ru-RU"/>
        </w:rPr>
      </w:pPr>
      <w:r>
        <w:rPr>
          <w:rFonts w:eastAsia="Calibri" w:cs="Liberation Serif"/>
          <w:sz w:val="24"/>
          <w:szCs w:val="24"/>
          <w:lang w:eastAsia="ru-RU"/>
        </w:rPr>
        <w:t>Тугулымского муниципального округа                                                                    А.Н. Поздеев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Calibri" w:cs="Liberation Serif"/>
          <w:sz w:val="24"/>
          <w:szCs w:val="24"/>
          <w:lang w:eastAsia="ru-RU"/>
        </w:rPr>
      </w:pPr>
      <w:r>
        <w:rPr>
          <w:rFonts w:eastAsia="Calibri" w:cs="Liberation Serif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jc w:val="end"/>
        <w:outlineLvl w:val="0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jc w:val="end"/>
        <w:outlineLvl w:val="0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jc w:val="end"/>
        <w:outlineLvl w:val="0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jc w:val="end"/>
        <w:outlineLvl w:val="0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jc w:val="end"/>
        <w:outlineLvl w:val="0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jc w:val="end"/>
        <w:outlineLvl w:val="0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>Утвержден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>постановлением администрации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sz w:val="24"/>
          <w:szCs w:val="24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>
        <w:rPr>
          <w:rFonts w:eastAsia="Times New Roman" w:cs="Liberation Serif"/>
          <w:bCs/>
          <w:sz w:val="24"/>
          <w:szCs w:val="24"/>
          <w:lang w:eastAsia="ru-RU"/>
        </w:rPr>
        <w:t>от 10.03.2026 № 125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sz w:val="24"/>
          <w:szCs w:val="24"/>
        </w:rPr>
      </w:pPr>
      <w:r>
        <w:rPr>
          <w:rFonts w:eastAsia="Times New Roman" w:cs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bCs/>
          <w:sz w:val="24"/>
          <w:szCs w:val="24"/>
          <w:lang w:eastAsia="ru-RU"/>
        </w:rPr>
      </w:pPr>
      <w:r>
        <w:rPr>
          <w:rFonts w:eastAsia="Times New Roman" w:cs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bCs/>
          <w:sz w:val="24"/>
          <w:szCs w:val="24"/>
          <w:lang w:eastAsia="ru-RU"/>
        </w:rPr>
      </w:pPr>
      <w:r>
        <w:rPr>
          <w:rFonts w:eastAsia="Times New Roman" w:cs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bCs/>
          <w:sz w:val="24"/>
          <w:szCs w:val="24"/>
          <w:lang w:eastAsia="ru-RU"/>
        </w:rPr>
      </w:pPr>
      <w:r>
        <w:rPr>
          <w:rFonts w:eastAsia="Times New Roman" w:cs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bCs/>
          <w:sz w:val="24"/>
          <w:szCs w:val="24"/>
          <w:lang w:eastAsia="ru-RU"/>
        </w:rPr>
      </w:pPr>
      <w:r>
        <w:rPr>
          <w:rFonts w:eastAsia="Times New Roman" w:cs="Liberation Serif"/>
          <w:b/>
          <w:bCs/>
          <w:sz w:val="24"/>
          <w:szCs w:val="24"/>
          <w:lang w:eastAsia="ru-RU"/>
        </w:rPr>
        <w:t>Порядок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sz w:val="24"/>
          <w:szCs w:val="24"/>
        </w:rPr>
      </w:pPr>
      <w:r>
        <w:rPr>
          <w:rFonts w:eastAsia="Times New Roman" w:cs="Liberation Serif"/>
          <w:b/>
          <w:bCs/>
          <w:sz w:val="24"/>
          <w:szCs w:val="24"/>
          <w:lang w:eastAsia="ru-RU"/>
        </w:rPr>
        <w:t>расходования субсидии из областного бюджета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sz w:val="24"/>
          <w:szCs w:val="24"/>
        </w:rPr>
      </w:pPr>
      <w:r>
        <w:rPr>
          <w:rFonts w:eastAsia="Times New Roman" w:cs="Liberation Serif"/>
          <w:b/>
          <w:bCs/>
          <w:sz w:val="24"/>
          <w:szCs w:val="24"/>
          <w:lang w:eastAsia="ru-RU"/>
        </w:rPr>
        <w:t>бюджету Тугулымского муниципального округа Свердловской области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sz w:val="24"/>
          <w:szCs w:val="24"/>
        </w:rPr>
      </w:pPr>
      <w:r>
        <w:rPr>
          <w:rFonts w:eastAsia="Times New Roman" w:cs="Liberation Serif"/>
          <w:b/>
          <w:bCs/>
          <w:sz w:val="24"/>
          <w:szCs w:val="24"/>
          <w:lang w:eastAsia="ru-RU"/>
        </w:rPr>
        <w:t>на государственную поддержку лучших сельских учреждений культуры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Liberation Serif"/>
          <w:b/>
          <w:sz w:val="24"/>
          <w:szCs w:val="24"/>
        </w:rPr>
      </w:pPr>
      <w:r>
        <w:rPr>
          <w:rFonts w:eastAsia="Times New Roman" w:cs="Liberation Serif"/>
          <w:b/>
          <w:bCs/>
          <w:sz w:val="24"/>
          <w:szCs w:val="24"/>
          <w:lang w:eastAsia="ru-RU"/>
        </w:rPr>
        <w:t>и лучших работников сельских учреждений культуры</w:t>
      </w:r>
    </w:p>
    <w:p>
      <w:pPr>
        <w:pStyle w:val="Normal"/>
        <w:spacing w:lineRule="auto" w:line="240" w:before="0" w:after="0"/>
        <w:ind w:firstLine="540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>1. Настоящий Порядок разработан в соответствии с Бюджетным кодексом Российской Федерации, Постановлением Правительства Свердловской области от 21.10.2013 № 1268-ПП «Об утверждении государственной программы Свердловской области «Развитие культуры в Свердловской области».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ab/>
        <w:t>2. Настоящий Порядок определяет условия расходования средств, поступивших в бюджет Тугулымского муниципального округа в форме субсидии из областного бюджета бюджету Тугулымского муниципального округа Свердловской области на государственную поддержку лучших сельских учреждений культуры и лучших работников сельских учреждений культуры.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ab/>
        <w:t>3. Главным администратором доходов и главным распорядителем бюджетных средств является администрация Тугулымского муниципального округа Свердловской области (далее - администрация).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ab/>
        <w:t>4. Средства, выделенные из областного бюджета в форме субсидии, подлежат зачислению в доход бюджета Тугулымского муниципального округа по коду доходов 901 2 02 25519 140000 150 и расходованию по разделу 0800 «Культура, кинематография», подразделу 0801 «Культура», целевой статье 14104</w:t>
      </w:r>
      <w:r>
        <w:rPr>
          <w:rFonts w:eastAsia="Times New Roman" w:cs="Liberation Serif"/>
          <w:bCs/>
          <w:sz w:val="24"/>
          <w:szCs w:val="24"/>
          <w:lang w:val="en-US" w:eastAsia="ru-RU"/>
        </w:rPr>
        <w:t>L</w:t>
      </w:r>
      <w:r>
        <w:rPr>
          <w:rFonts w:eastAsia="Times New Roman" w:cs="Liberation Serif"/>
          <w:bCs/>
          <w:sz w:val="24"/>
          <w:szCs w:val="24"/>
          <w:lang w:eastAsia="ru-RU"/>
        </w:rPr>
        <w:t>5197 «Субсидии на государственную поддержку лучших сельских учреждений культуры и лучших работников сельских учреждений культуры на условиях софинансирования из федерального бюджета» в целях достижения результатов в рамках государственной программы Российской Федерации «Развитие культуры», утвержденной постановлением Правительства Российской Федерации от 15.04.2014 № 317 «Об утверждении государственной программы Российской Федерации «Развитие культуры», в рамках государственной программы Свердловской области «Развитие культуры в Свердловской области», утвержденной постановлением Правительства Свердловской области от 21.10.2013 № 1268-ПП «Об утверждении государственной программы Свердловской области «Развитие культуры в Свердловской области».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ab/>
        <w:t>5. Субсидии направляются на реализацию муниципальной программы «Развитие культуры Тугулымского муниципального округа до 2029 года»,  на условиях софинансирования.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ab/>
        <w:t>6. Получателями субсидий являются муниципальные бюджетные учреждения культуры Тугулымского муниципального округа. Администрация заключает с Учреждениями Соглашения о предоставлении из бюджета Тугулымского  муниципального округа субсидий. Субсидии перечисляются Учреждениям на лицевые счета, открытые в Финансовом управлении администрации Тугулымского муниципального округа.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ab/>
        <w:t>7. Субсидии на поощрение Учреждения направляются на укрепление материально-технической базы и повышение качества культурно-досугового, библиотечного, библиографического и информационного обслуживания жителей Тугулымского муниципального округа, субсидии на поощрение работника направляются на выплату денежного поощрения лучшему работнику, путём перечисления Учреждением, с которым работник состоит в трудовых отношениях, денежных средств на счет в банке, открытый работником для зачисления заработной платы и уплату налога на доходы физических лиц.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ab/>
        <w:t>8. Учреждение направляет отчеты Главному распорядителю бюджетных средств администрации Тугулымского муниципального округа, не позднее 5 рабочих дней, следующих за отчетным кварталом, в котором была получена Субсидия, по формам, установленным в соглашении: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ab/>
        <w:t xml:space="preserve">1) отчет о расходах, источником  финансового обеспечения которых является Субсидия; 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ab/>
        <w:t>2) отчет о достижении значений результатов расходования Субсидии.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ab/>
        <w:t>9. Средства, полученные из областного бюджета в форме субсидий, носят целевой характер и не могут быть использованы на иные цели. Нецелевое использование бюджетных средств влечет применение мер ответственности, предусмотренных бюджетным, административным, уголовным законодательством Российской Федерации.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  <w:tab/>
        <w:t>Неиспользованные остатки субсидии подлежат возврату в областной бюджет в сроки, установленные бюджетным законодательством.</w:t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39"/>
        <w:jc w:val="both"/>
        <w:rPr>
          <w:rFonts w:ascii="Liberation Serif" w:hAnsi="Liberation Serif" w:eastAsia="Times New Roman" w:cs="Liberation Serif"/>
          <w:bCs/>
          <w:sz w:val="24"/>
          <w:szCs w:val="24"/>
          <w:lang w:eastAsia="ru-RU"/>
        </w:rPr>
      </w:pPr>
      <w:r>
        <w:rPr>
          <w:rFonts w:eastAsia="Times New Roman" w:cs="Liberation Serif"/>
          <w:bCs/>
          <w:sz w:val="24"/>
          <w:szCs w:val="24"/>
          <w:lang w:eastAsia="ru-RU"/>
        </w:rPr>
      </w:r>
    </w:p>
    <w:sectPr>
      <w:type w:val="nextPage"/>
      <w:pgSz w:w="11906" w:h="16838"/>
      <w:pgMar w:left="1338" w:right="850" w:gutter="0" w:header="0" w:top="628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48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both"/>
    </w:pPr>
    <w:rPr>
      <w:rFonts w:ascii="Liberation Serif" w:hAnsi="Liberation Serif" w:eastAsia="Calibri" w:cs="" w:cstheme="minorBidi" w:eastAsiaTheme="minorHAnsi"/>
      <w:color w:val="auto"/>
      <w:kern w:val="0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271936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7a6aff"/>
    <w:rPr/>
  </w:style>
  <w:style w:type="character" w:styleId="Style16" w:customStyle="1">
    <w:name w:val="Нижний колонтитул Знак"/>
    <w:basedOn w:val="DefaultParagraphFont"/>
    <w:uiPriority w:val="99"/>
    <w:qFormat/>
    <w:rsid w:val="007a6aff"/>
    <w:rPr/>
  </w:style>
  <w:style w:type="character" w:styleId="Hyperlink">
    <w:name w:val="Hyperlink"/>
    <w:rPr>
      <w:color w:val="000080"/>
      <w:u w:val="singl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4407e7"/>
    <w:pPr>
      <w:widowControl w:val="false"/>
      <w:bidi w:val="0"/>
      <w:spacing w:lineRule="auto" w:line="240" w:before="0" w:after="0"/>
      <w:ind w:hanging="57" w:start="0" w:end="0"/>
      <w:contextualSpacing/>
      <w:jc w:val="both"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27193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user2">
    <w:name w:val="Колонтитулы (user)"/>
    <w:basedOn w:val="Normal"/>
    <w:qFormat/>
    <w:pPr/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7a6af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6"/>
    <w:uiPriority w:val="99"/>
    <w:unhideWhenUsed/>
    <w:rsid w:val="007a6af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8F506698D18FC930CEEAA21C10D02672619039BA9AEC0CE50A1BC6EB102E398AE1A234BDD7F25AD2E65A798C211DQ7G" TargetMode="External"/><Relationship Id="rId4" Type="http://schemas.openxmlformats.org/officeDocument/2006/relationships/hyperlink" Target="consultantplus://offline/ref=8F506698D18FC930CEEABC1106BC7878639867B39AEB00B2514BC0BC4F7E3FDFB3E26AE487B411DEE646658D21C03DB5B615Q2G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Application>LibreOffice/25.8.4.2$Linux_X86_64 LibreOffice_project/290daaa01b999472f0c7a3890eb6a550fd74c6df</Application>
  <AppVersion>15.0000</AppVersion>
  <Pages>3</Pages>
  <Words>678</Words>
  <Characters>5227</Characters>
  <CharactersWithSpaces>6194</CharactersWithSpaces>
  <Paragraphs>38</Paragraphs>
  <Company>ТугЦБС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2026-03-02T06:15:00Z</dcterms:created>
  <dc:creator>Бороздина</dc:creator>
  <dc:description/>
  <dc:language>ru-RU</dc:language>
  <cp:lastModifiedBy/>
  <cp:lastPrinted>2026-03-12T10:21:41Z</cp:lastPrinted>
  <dcterms:modified xsi:type="dcterms:W3CDTF">2026-03-12T10:55:07Z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